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445" w:rsidRPr="00172283" w:rsidRDefault="000F5445" w:rsidP="004570B8">
      <w:pPr>
        <w:tabs>
          <w:tab w:val="center" w:pos="6480"/>
        </w:tabs>
        <w:spacing w:after="240" w:line="276" w:lineRule="auto"/>
        <w:jc w:val="both"/>
        <w:rPr>
          <w:sz w:val="26"/>
          <w:szCs w:val="26"/>
        </w:rPr>
      </w:pPr>
      <w:r w:rsidRPr="00172283">
        <w:rPr>
          <w:sz w:val="26"/>
          <w:szCs w:val="26"/>
        </w:rPr>
        <w:t>Bệnh viện Nhi Đồng 2</w:t>
      </w:r>
      <w:r w:rsidRPr="00172283">
        <w:rPr>
          <w:sz w:val="26"/>
          <w:szCs w:val="26"/>
        </w:rPr>
        <w:tab/>
        <w:t xml:space="preserve">CỘNG HÒA XÃ HỘI CHỦ NGHĨA VIỆT </w:t>
      </w:r>
      <w:smartTag w:uri="urn:schemas-microsoft-com:office:smarttags" w:element="country-region">
        <w:smartTag w:uri="urn:schemas-microsoft-com:office:smarttags" w:element="place">
          <w:r w:rsidRPr="00172283">
            <w:rPr>
              <w:sz w:val="26"/>
              <w:szCs w:val="26"/>
            </w:rPr>
            <w:t>NAM</w:t>
          </w:r>
        </w:smartTag>
      </w:smartTag>
    </w:p>
    <w:p w:rsidR="000F5445" w:rsidRPr="00172283" w:rsidRDefault="000F5445" w:rsidP="004570B8">
      <w:pPr>
        <w:tabs>
          <w:tab w:val="center" w:pos="1080"/>
          <w:tab w:val="center" w:pos="6480"/>
        </w:tabs>
        <w:spacing w:after="240" w:line="276" w:lineRule="auto"/>
        <w:jc w:val="both"/>
        <w:rPr>
          <w:sz w:val="26"/>
          <w:szCs w:val="26"/>
        </w:rPr>
      </w:pPr>
      <w:r w:rsidRPr="00172283">
        <w:rPr>
          <w:sz w:val="26"/>
          <w:szCs w:val="26"/>
        </w:rPr>
        <w:tab/>
        <w:t>Khoa Dược</w:t>
      </w:r>
      <w:r w:rsidRPr="00172283">
        <w:rPr>
          <w:sz w:val="26"/>
          <w:szCs w:val="26"/>
        </w:rPr>
        <w:tab/>
        <w:t>Độc Lập – Tự Do – Hạnh Phúc</w:t>
      </w:r>
    </w:p>
    <w:p w:rsidR="000F5445" w:rsidRPr="00172283" w:rsidRDefault="000F5445" w:rsidP="004570B8">
      <w:pPr>
        <w:spacing w:after="240" w:line="276" w:lineRule="auto"/>
        <w:jc w:val="both"/>
        <w:rPr>
          <w:sz w:val="26"/>
          <w:szCs w:val="26"/>
        </w:rPr>
      </w:pPr>
      <w:r w:rsidRPr="00172283">
        <w:rPr>
          <w:sz w:val="26"/>
          <w:szCs w:val="26"/>
        </w:rPr>
        <w:t xml:space="preserve">Đơn vị thông tin thuốc                                                            </w:t>
      </w:r>
      <w:r w:rsidRPr="00172283">
        <w:rPr>
          <w:sz w:val="26"/>
          <w:szCs w:val="26"/>
        </w:rPr>
        <w:sym w:font="Wingdings 2" w:char="F061"/>
      </w:r>
      <w:r w:rsidRPr="00172283">
        <w:rPr>
          <w:sz w:val="26"/>
          <w:szCs w:val="26"/>
        </w:rPr>
        <w:sym w:font="Wingdings 2" w:char="F062"/>
      </w:r>
    </w:p>
    <w:p w:rsidR="000F5445" w:rsidRPr="00172283" w:rsidRDefault="000F5445" w:rsidP="004570B8">
      <w:pPr>
        <w:spacing w:after="240" w:line="276" w:lineRule="auto"/>
        <w:jc w:val="both"/>
        <w:rPr>
          <w:sz w:val="26"/>
          <w:szCs w:val="26"/>
        </w:rPr>
      </w:pPr>
      <w:r>
        <w:rPr>
          <w:noProof/>
          <w:sz w:val="26"/>
          <w:szCs w:val="26"/>
        </w:rPr>
        <w:drawing>
          <wp:anchor distT="0" distB="0" distL="114300" distR="114300" simplePos="0" relativeHeight="251660288" behindDoc="1" locked="0" layoutInCell="1" allowOverlap="1">
            <wp:simplePos x="0" y="0"/>
            <wp:positionH relativeFrom="column">
              <wp:posOffset>565785</wp:posOffset>
            </wp:positionH>
            <wp:positionV relativeFrom="paragraph">
              <wp:posOffset>48260</wp:posOffset>
            </wp:positionV>
            <wp:extent cx="828040" cy="854710"/>
            <wp:effectExtent l="19050" t="0" r="0" b="0"/>
            <wp:wrapTight wrapText="bothSides">
              <wp:wrapPolygon edited="0">
                <wp:start x="12423" y="0"/>
                <wp:lineTo x="2485" y="1926"/>
                <wp:lineTo x="-497" y="3851"/>
                <wp:lineTo x="-497" y="7703"/>
                <wp:lineTo x="3479" y="15406"/>
                <wp:lineTo x="3479" y="18294"/>
                <wp:lineTo x="5466" y="21183"/>
                <wp:lineTo x="7454" y="21183"/>
                <wp:lineTo x="10436" y="21183"/>
                <wp:lineTo x="11926" y="21183"/>
                <wp:lineTo x="19380" y="16368"/>
                <wp:lineTo x="20871" y="15406"/>
                <wp:lineTo x="21368" y="12999"/>
                <wp:lineTo x="21368" y="7221"/>
                <wp:lineTo x="14411" y="0"/>
                <wp:lineTo x="12423" y="0"/>
              </wp:wrapPolygon>
            </wp:wrapTight>
            <wp:docPr id="2" name="Picture 2" descr="j0186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86002"/>
                    <pic:cNvPicPr>
                      <a:picLocks noChangeAspect="1" noChangeArrowheads="1"/>
                    </pic:cNvPicPr>
                  </pic:nvPicPr>
                  <pic:blipFill>
                    <a:blip r:embed="rId8" cstate="print"/>
                    <a:srcRect/>
                    <a:stretch>
                      <a:fillRect/>
                    </a:stretch>
                  </pic:blipFill>
                  <pic:spPr bwMode="auto">
                    <a:xfrm>
                      <a:off x="0" y="0"/>
                      <a:ext cx="828040" cy="854710"/>
                    </a:xfrm>
                    <a:prstGeom prst="rect">
                      <a:avLst/>
                    </a:prstGeom>
                    <a:noFill/>
                    <a:ln w="9525">
                      <a:noFill/>
                      <a:miter lim="800000"/>
                      <a:headEnd/>
                      <a:tailEnd/>
                    </a:ln>
                  </pic:spPr>
                </pic:pic>
              </a:graphicData>
            </a:graphic>
          </wp:anchor>
        </w:drawing>
      </w:r>
    </w:p>
    <w:p w:rsidR="000F5445" w:rsidRPr="00172283" w:rsidRDefault="000F5445" w:rsidP="004570B8">
      <w:pPr>
        <w:spacing w:after="240" w:line="276" w:lineRule="auto"/>
        <w:rPr>
          <w:b/>
          <w:shadow/>
          <w:sz w:val="36"/>
          <w:szCs w:val="36"/>
        </w:rPr>
      </w:pPr>
      <w:r>
        <w:rPr>
          <w:b/>
          <w:shadow/>
          <w:sz w:val="36"/>
          <w:szCs w:val="36"/>
        </w:rPr>
        <w:t>THÔNG TIN THUỐC THÁNG 0</w:t>
      </w:r>
      <w:r w:rsidR="008B2163">
        <w:rPr>
          <w:b/>
          <w:shadow/>
          <w:sz w:val="36"/>
          <w:szCs w:val="36"/>
        </w:rPr>
        <w:t>4</w:t>
      </w:r>
      <w:r>
        <w:rPr>
          <w:b/>
          <w:shadow/>
          <w:sz w:val="36"/>
          <w:szCs w:val="36"/>
        </w:rPr>
        <w:t>/2014</w:t>
      </w:r>
    </w:p>
    <w:p w:rsidR="000F5445" w:rsidRPr="00172283" w:rsidRDefault="000F5445" w:rsidP="004570B8">
      <w:pPr>
        <w:spacing w:after="240" w:line="276" w:lineRule="auto"/>
        <w:jc w:val="both"/>
        <w:rPr>
          <w:b/>
          <w:sz w:val="26"/>
          <w:szCs w:val="26"/>
        </w:rPr>
      </w:pPr>
    </w:p>
    <w:p w:rsidR="000F5445" w:rsidRPr="00172283" w:rsidRDefault="000F5445" w:rsidP="004570B8">
      <w:pPr>
        <w:tabs>
          <w:tab w:val="left" w:pos="2430"/>
          <w:tab w:val="left" w:pos="4320"/>
        </w:tabs>
        <w:spacing w:after="240" w:line="276" w:lineRule="auto"/>
        <w:ind w:right="-29"/>
        <w:jc w:val="both"/>
        <w:rPr>
          <w:b/>
          <w:sz w:val="26"/>
          <w:szCs w:val="26"/>
        </w:rPr>
      </w:pPr>
      <w:r w:rsidRPr="00172283">
        <w:rPr>
          <w:b/>
          <w:sz w:val="26"/>
          <w:szCs w:val="26"/>
        </w:rPr>
        <w:tab/>
        <w:t>Người thực hiện:</w:t>
      </w:r>
      <w:r w:rsidRPr="00172283">
        <w:rPr>
          <w:b/>
          <w:sz w:val="26"/>
          <w:szCs w:val="26"/>
        </w:rPr>
        <w:tab/>
        <w:t xml:space="preserve"> DS. </w:t>
      </w:r>
      <w:r>
        <w:rPr>
          <w:b/>
          <w:sz w:val="26"/>
          <w:szCs w:val="26"/>
        </w:rPr>
        <w:t>HUỲNH XUÂN LỘC</w:t>
      </w:r>
    </w:p>
    <w:p w:rsidR="00996848" w:rsidRPr="00996848" w:rsidRDefault="000F5445" w:rsidP="00FA3101">
      <w:pPr>
        <w:tabs>
          <w:tab w:val="left" w:pos="2430"/>
          <w:tab w:val="left" w:pos="4320"/>
        </w:tabs>
        <w:spacing w:after="240" w:line="276" w:lineRule="auto"/>
        <w:ind w:right="-29"/>
        <w:jc w:val="both"/>
        <w:rPr>
          <w:sz w:val="26"/>
          <w:szCs w:val="26"/>
          <w:lang w:val="fr-FR"/>
        </w:rPr>
      </w:pPr>
      <w:r w:rsidRPr="00172283">
        <w:rPr>
          <w:b/>
          <w:sz w:val="26"/>
          <w:szCs w:val="26"/>
        </w:rPr>
        <w:t xml:space="preserve">                                                                   </w:t>
      </w:r>
      <w:r w:rsidRPr="00172283">
        <w:rPr>
          <w:sz w:val="26"/>
          <w:szCs w:val="26"/>
          <w:lang w:val="fr-FR"/>
        </w:rPr>
        <w:t xml:space="preserve">Tổng số trang: </w:t>
      </w:r>
      <w:r w:rsidR="00996848">
        <w:rPr>
          <w:sz w:val="26"/>
          <w:szCs w:val="26"/>
          <w:lang w:val="fr-FR"/>
        </w:rPr>
        <w:t>6</w:t>
      </w:r>
    </w:p>
    <w:p w:rsidR="000F5445" w:rsidRPr="00FA3101" w:rsidRDefault="000F5445" w:rsidP="004570B8">
      <w:pPr>
        <w:numPr>
          <w:ilvl w:val="0"/>
          <w:numId w:val="1"/>
        </w:numPr>
        <w:tabs>
          <w:tab w:val="clear" w:pos="720"/>
          <w:tab w:val="num" w:pos="540"/>
          <w:tab w:val="left" w:pos="6650"/>
        </w:tabs>
        <w:spacing w:after="240" w:line="276" w:lineRule="auto"/>
        <w:ind w:left="540" w:hanging="540"/>
        <w:jc w:val="both"/>
        <w:rPr>
          <w:b/>
          <w:sz w:val="26"/>
          <w:szCs w:val="26"/>
          <w:u w:val="single"/>
        </w:rPr>
      </w:pPr>
      <w:r w:rsidRPr="00FA3101">
        <w:rPr>
          <w:b/>
          <w:sz w:val="26"/>
          <w:szCs w:val="26"/>
          <w:u w:val="single"/>
        </w:rPr>
        <w:t>THÔNG TIN NGẮN ĐIỂM BÁO</w:t>
      </w:r>
      <w:bookmarkStart w:id="0" w:name="OLE_LINK1"/>
      <w:bookmarkStart w:id="1" w:name="OLE_LINK2"/>
    </w:p>
    <w:p w:rsidR="00FA3101" w:rsidRPr="00FA3101" w:rsidRDefault="00FA3101" w:rsidP="00FA3101">
      <w:pPr>
        <w:pStyle w:val="NormalWeb"/>
        <w:numPr>
          <w:ilvl w:val="1"/>
          <w:numId w:val="1"/>
        </w:numPr>
        <w:tabs>
          <w:tab w:val="clear" w:pos="360"/>
        </w:tabs>
        <w:spacing w:before="0" w:beforeAutospacing="0" w:after="240" w:afterAutospacing="0" w:line="276" w:lineRule="auto"/>
        <w:ind w:left="540"/>
        <w:jc w:val="both"/>
        <w:rPr>
          <w:b/>
          <w:bCs/>
          <w:color w:val="000000" w:themeColor="text1"/>
        </w:rPr>
      </w:pPr>
      <w:r w:rsidRPr="00FA3101">
        <w:rPr>
          <w:b/>
          <w:bCs/>
          <w:color w:val="000000" w:themeColor="text1"/>
        </w:rPr>
        <w:t>FDA: cảnh báo về nguy cơ khi sử dụng quá liều khuyến cáo thuốc chứa natri phosphat để điều trị táo bón</w:t>
      </w:r>
    </w:p>
    <w:p w:rsidR="00FA3101" w:rsidRPr="00FA3101" w:rsidRDefault="00FA3101" w:rsidP="00FA3101">
      <w:pPr>
        <w:pStyle w:val="NormalWeb"/>
        <w:numPr>
          <w:ilvl w:val="1"/>
          <w:numId w:val="1"/>
        </w:numPr>
        <w:tabs>
          <w:tab w:val="clear" w:pos="360"/>
        </w:tabs>
        <w:spacing w:before="0" w:beforeAutospacing="0" w:after="240" w:afterAutospacing="0" w:line="276" w:lineRule="auto"/>
        <w:ind w:left="540"/>
        <w:jc w:val="both"/>
        <w:rPr>
          <w:b/>
        </w:rPr>
      </w:pPr>
      <w:r w:rsidRPr="00FA3101">
        <w:rPr>
          <w:b/>
        </w:rPr>
        <w:t>Bất thường hoạt động não liên quan đến “nghiện dùng internet”</w:t>
      </w:r>
    </w:p>
    <w:bookmarkEnd w:id="0"/>
    <w:bookmarkEnd w:id="1"/>
    <w:p w:rsidR="000F5445" w:rsidRPr="00FA3101" w:rsidRDefault="000F5445" w:rsidP="004570B8">
      <w:pPr>
        <w:numPr>
          <w:ilvl w:val="0"/>
          <w:numId w:val="1"/>
        </w:numPr>
        <w:tabs>
          <w:tab w:val="clear" w:pos="720"/>
          <w:tab w:val="num" w:pos="540"/>
          <w:tab w:val="left" w:pos="6650"/>
        </w:tabs>
        <w:spacing w:after="240" w:line="276" w:lineRule="auto"/>
        <w:ind w:left="540" w:hanging="540"/>
        <w:jc w:val="both"/>
        <w:rPr>
          <w:b/>
          <w:sz w:val="26"/>
          <w:szCs w:val="26"/>
          <w:u w:val="single"/>
        </w:rPr>
      </w:pPr>
      <w:r w:rsidRPr="00FA3101">
        <w:rPr>
          <w:b/>
          <w:sz w:val="26"/>
          <w:szCs w:val="26"/>
          <w:u w:val="single"/>
        </w:rPr>
        <w:t>THUỐC ĐÌNH CHỈ LƯU HÀNH – THUỐC RÚT SỐ ĐĂNG KÝ</w:t>
      </w:r>
    </w:p>
    <w:p w:rsidR="000F5445" w:rsidRPr="00172283" w:rsidRDefault="000F5445" w:rsidP="004570B8">
      <w:pPr>
        <w:tabs>
          <w:tab w:val="right" w:pos="8640"/>
        </w:tabs>
        <w:spacing w:after="240" w:line="276" w:lineRule="auto"/>
        <w:jc w:val="both"/>
        <w:outlineLvl w:val="0"/>
        <w:rPr>
          <w:sz w:val="26"/>
          <w:szCs w:val="26"/>
        </w:rPr>
      </w:pPr>
      <w:r w:rsidRPr="00172283">
        <w:rPr>
          <w:sz w:val="26"/>
          <w:szCs w:val="26"/>
        </w:rPr>
        <w:tab/>
      </w:r>
    </w:p>
    <w:p w:rsidR="000F5445" w:rsidRPr="00172283" w:rsidRDefault="00FA3101" w:rsidP="004570B8">
      <w:pPr>
        <w:tabs>
          <w:tab w:val="right" w:pos="8640"/>
        </w:tabs>
        <w:spacing w:after="240" w:line="276" w:lineRule="auto"/>
        <w:jc w:val="both"/>
        <w:outlineLvl w:val="0"/>
        <w:rPr>
          <w:b/>
          <w:sz w:val="26"/>
          <w:szCs w:val="26"/>
        </w:rPr>
      </w:pPr>
      <w:r>
        <w:rPr>
          <w:b/>
          <w:sz w:val="26"/>
          <w:szCs w:val="26"/>
        </w:rPr>
        <w:tab/>
      </w:r>
      <w:r w:rsidR="000F5445" w:rsidRPr="00172283">
        <w:rPr>
          <w:b/>
          <w:sz w:val="26"/>
          <w:szCs w:val="26"/>
        </w:rPr>
        <w:t>Hội Đồng Thuốc và Điều Trị</w:t>
      </w:r>
    </w:p>
    <w:p w:rsidR="00676F0E" w:rsidRDefault="00676F0E" w:rsidP="004570B8">
      <w:pPr>
        <w:spacing w:after="240" w:line="276" w:lineRule="auto"/>
        <w:jc w:val="both"/>
      </w:pPr>
    </w:p>
    <w:p w:rsidR="000F5445" w:rsidRDefault="000F5445" w:rsidP="004570B8">
      <w:pPr>
        <w:spacing w:after="240" w:line="276" w:lineRule="auto"/>
        <w:jc w:val="both"/>
      </w:pPr>
    </w:p>
    <w:p w:rsidR="000F5445" w:rsidRDefault="000F5445" w:rsidP="004570B8">
      <w:pPr>
        <w:spacing w:after="240" w:line="276" w:lineRule="auto"/>
        <w:jc w:val="both"/>
      </w:pPr>
    </w:p>
    <w:p w:rsidR="000F5445" w:rsidRDefault="000F5445" w:rsidP="004570B8">
      <w:pPr>
        <w:spacing w:after="240" w:line="276" w:lineRule="auto"/>
        <w:jc w:val="both"/>
      </w:pPr>
    </w:p>
    <w:p w:rsidR="000F5445" w:rsidRDefault="000F5445" w:rsidP="004570B8">
      <w:pPr>
        <w:spacing w:after="240" w:line="276" w:lineRule="auto"/>
        <w:jc w:val="both"/>
      </w:pPr>
    </w:p>
    <w:p w:rsidR="000F5445" w:rsidRDefault="000F5445" w:rsidP="004570B8">
      <w:pPr>
        <w:spacing w:after="240" w:line="276" w:lineRule="auto"/>
        <w:jc w:val="both"/>
      </w:pPr>
    </w:p>
    <w:p w:rsidR="00B90F03" w:rsidRDefault="00B90F03" w:rsidP="004570B8">
      <w:pPr>
        <w:spacing w:after="240" w:line="276" w:lineRule="auto"/>
        <w:jc w:val="both"/>
      </w:pPr>
    </w:p>
    <w:p w:rsidR="00FA3101" w:rsidRDefault="00FA3101" w:rsidP="004570B8">
      <w:pPr>
        <w:spacing w:after="240" w:line="276" w:lineRule="auto"/>
        <w:jc w:val="both"/>
      </w:pPr>
    </w:p>
    <w:p w:rsidR="000F5445" w:rsidRPr="004570B8" w:rsidRDefault="000F5445" w:rsidP="004570B8">
      <w:pPr>
        <w:pStyle w:val="ListParagraph"/>
        <w:numPr>
          <w:ilvl w:val="0"/>
          <w:numId w:val="3"/>
        </w:numPr>
        <w:tabs>
          <w:tab w:val="left" w:pos="6650"/>
        </w:tabs>
        <w:spacing w:after="240" w:line="276" w:lineRule="auto"/>
        <w:ind w:left="540" w:hanging="540"/>
        <w:jc w:val="center"/>
        <w:rPr>
          <w:b/>
          <w:sz w:val="28"/>
          <w:szCs w:val="28"/>
          <w:u w:val="single"/>
        </w:rPr>
      </w:pPr>
      <w:r w:rsidRPr="004570B8">
        <w:rPr>
          <w:b/>
          <w:sz w:val="28"/>
          <w:szCs w:val="28"/>
          <w:u w:val="single"/>
        </w:rPr>
        <w:lastRenderedPageBreak/>
        <w:t>THÔNG TIN NGẮN ĐIỂM BÁO</w:t>
      </w:r>
    </w:p>
    <w:p w:rsidR="008B2163" w:rsidRPr="004570B8" w:rsidRDefault="008B2163" w:rsidP="004570B8">
      <w:pPr>
        <w:pStyle w:val="NormalWeb"/>
        <w:numPr>
          <w:ilvl w:val="1"/>
          <w:numId w:val="1"/>
        </w:numPr>
        <w:tabs>
          <w:tab w:val="clear" w:pos="360"/>
        </w:tabs>
        <w:spacing w:before="0" w:beforeAutospacing="0" w:after="240" w:afterAutospacing="0" w:line="276" w:lineRule="auto"/>
        <w:ind w:left="0"/>
        <w:jc w:val="both"/>
        <w:rPr>
          <w:b/>
          <w:bCs/>
          <w:color w:val="000000" w:themeColor="text1"/>
          <w:sz w:val="26"/>
          <w:szCs w:val="26"/>
          <w:u w:val="single"/>
        </w:rPr>
      </w:pPr>
      <w:r w:rsidRPr="008B2163">
        <w:rPr>
          <w:b/>
          <w:bCs/>
          <w:color w:val="000000" w:themeColor="text1"/>
          <w:sz w:val="26"/>
          <w:szCs w:val="26"/>
          <w:u w:val="single"/>
        </w:rPr>
        <w:t>FDA: cảnh báo về nguy cơ khi sử dụng quá liều khuyến cáo thuốc chứa natri phosphat để điều trị táo bón</w:t>
      </w:r>
    </w:p>
    <w:p w:rsidR="0063342E" w:rsidRDefault="008B2163" w:rsidP="004570B8">
      <w:pPr>
        <w:pStyle w:val="NormalWeb"/>
        <w:spacing w:before="0" w:beforeAutospacing="0" w:after="240" w:afterAutospacing="0" w:line="276" w:lineRule="auto"/>
        <w:jc w:val="both"/>
        <w:rPr>
          <w:color w:val="000000" w:themeColor="text1"/>
          <w:sz w:val="26"/>
          <w:szCs w:val="26"/>
        </w:rPr>
      </w:pPr>
      <w:r w:rsidRPr="008B2163">
        <w:rPr>
          <w:color w:val="000000" w:themeColor="text1"/>
          <w:sz w:val="26"/>
          <w:szCs w:val="26"/>
        </w:rPr>
        <w:t xml:space="preserve">Ngày 8/1/2014, FDA đã đưa ra cảnh báo về việc sử dụng trên 1 liều thuốc chứa natri phosphat trong 24 giờ để điều trị táo bón có thể gây ra những phản ứng tuy hiếm gặp nhưng nghiêm trọng trên thận, tim, thậm chí tử vong. </w:t>
      </w:r>
    </w:p>
    <w:p w:rsidR="008B2163" w:rsidRPr="008B2163" w:rsidRDefault="008B2163" w:rsidP="004570B8">
      <w:pPr>
        <w:pStyle w:val="NormalWeb"/>
        <w:spacing w:before="0" w:beforeAutospacing="0" w:after="240" w:afterAutospacing="0" w:line="276" w:lineRule="auto"/>
        <w:jc w:val="both"/>
        <w:rPr>
          <w:color w:val="000000" w:themeColor="text1"/>
          <w:sz w:val="26"/>
          <w:szCs w:val="26"/>
        </w:rPr>
      </w:pPr>
      <w:r w:rsidRPr="008B2163">
        <w:rPr>
          <w:color w:val="000000" w:themeColor="text1"/>
          <w:sz w:val="26"/>
          <w:szCs w:val="26"/>
        </w:rPr>
        <w:t>FDA đã nhận được một số báo cáo về tình trạng mất nước nặng và rối loạn điện giải do sử dụng trên 1 liều thuốc chứa natri phosphat trong 24 giờ. Tình trạng này sau đó đã gây ra những phản ứng có hại nghiêm trọng trên nhiều hệ cơ quan như thận, tim và một số trường hợp đã dẫn đến tử vong. Theo một số báo cáo, đa s</w:t>
      </w:r>
      <w:r w:rsidR="00EE24C4">
        <w:rPr>
          <w:color w:val="000000" w:themeColor="text1"/>
          <w:sz w:val="26"/>
          <w:szCs w:val="26"/>
        </w:rPr>
        <w:t>ố các trường hợp gặp phản ứng</w:t>
      </w:r>
      <w:r w:rsidRPr="008B2163">
        <w:rPr>
          <w:color w:val="000000" w:themeColor="text1"/>
          <w:sz w:val="26"/>
          <w:szCs w:val="26"/>
        </w:rPr>
        <w:t xml:space="preserve"> có hại nghiêm trọng xảy ra với liều đơn vượt quá liều khuyến cáo hoặc dùng thuốc trên 1 liều trong ngày. </w:t>
      </w:r>
    </w:p>
    <w:p w:rsidR="008B2163" w:rsidRPr="008B2163" w:rsidRDefault="008B2163" w:rsidP="004570B8">
      <w:pPr>
        <w:pStyle w:val="NormalWeb"/>
        <w:spacing w:before="0" w:beforeAutospacing="0" w:after="240" w:afterAutospacing="0" w:line="276" w:lineRule="auto"/>
        <w:jc w:val="both"/>
        <w:rPr>
          <w:color w:val="000000" w:themeColor="text1"/>
          <w:sz w:val="26"/>
          <w:szCs w:val="26"/>
        </w:rPr>
      </w:pPr>
      <w:r w:rsidRPr="008B2163">
        <w:rPr>
          <w:color w:val="000000" w:themeColor="text1"/>
          <w:sz w:val="26"/>
          <w:szCs w:val="26"/>
        </w:rPr>
        <w:t>Một số đối tượng nguy cơ cao xảy ra các phản ứng có hại trên bao gồm: trẻ nhỏ, người trên 55 tuổi, bệnh nhân đang mất nước, bệnh nhân có bệnh thận, tắc ruột, hoặc có bệnh</w:t>
      </w:r>
      <w:r w:rsidR="00EE24C4">
        <w:rPr>
          <w:color w:val="000000" w:themeColor="text1"/>
          <w:sz w:val="26"/>
          <w:szCs w:val="26"/>
        </w:rPr>
        <w:t xml:space="preserve"> </w:t>
      </w:r>
      <w:r w:rsidRPr="008B2163">
        <w:rPr>
          <w:color w:val="000000" w:themeColor="text1"/>
          <w:sz w:val="26"/>
          <w:szCs w:val="26"/>
        </w:rPr>
        <w:t>viêm nhiễm ở ruột, bệnh nhân đang sử dụng các thuốc có ảnh hưởng đến chức năng thận, bao gồm: thuốc lợi tiểu, thuốc nhóm ức chế men chuyển (ACE</w:t>
      </w:r>
      <w:r w:rsidR="00EE24C4">
        <w:rPr>
          <w:color w:val="000000" w:themeColor="text1"/>
          <w:sz w:val="26"/>
          <w:szCs w:val="26"/>
        </w:rPr>
        <w:t>i</w:t>
      </w:r>
      <w:r w:rsidRPr="008B2163">
        <w:rPr>
          <w:color w:val="000000" w:themeColor="text1"/>
          <w:sz w:val="26"/>
          <w:szCs w:val="26"/>
        </w:rPr>
        <w:t>) và thuốc nhóm đối kháng thụ thể angiotensin (ARB) để điều trị tăng huyết áp, bệnh nhân sử dụng các thuốc NSAIDs như aspirin, ibuprofen và naproxen. </w:t>
      </w:r>
    </w:p>
    <w:p w:rsidR="008B2163" w:rsidRPr="008B2163" w:rsidRDefault="008B2163" w:rsidP="004570B8">
      <w:pPr>
        <w:pStyle w:val="NormalWeb"/>
        <w:spacing w:before="0" w:beforeAutospacing="0" w:after="240" w:afterAutospacing="0" w:line="276" w:lineRule="auto"/>
        <w:jc w:val="both"/>
        <w:rPr>
          <w:color w:val="000000" w:themeColor="text1"/>
          <w:sz w:val="26"/>
          <w:szCs w:val="26"/>
        </w:rPr>
      </w:pPr>
      <w:r w:rsidRPr="008B2163">
        <w:rPr>
          <w:color w:val="000000" w:themeColor="text1"/>
          <w:sz w:val="26"/>
          <w:szCs w:val="26"/>
        </w:rPr>
        <w:t>FDA khuyến cáo người sử dụng và cán bộ y tế cần đọc kỹ tờ HDSD của những thuốc này, sử dụng thuốc đúng theo khuyến cáo và không sử dụng quá liều ghi trên nhãn thuốc. Bố mẹ trẻ không nên tự ý cho con dưới 5 tuổi sử dụng thuốc này khi chưa hỏi ý kiến bác sĩ. Bác sĩ cần thận trọng khi cho bệnh nhân dưới 5 tuổi sử dụng thuốc chứa natri phosphat. Dạng đặt trực tràng không được sử dụng cho trẻ dưới 2 tuổi.  </w:t>
      </w:r>
    </w:p>
    <w:p w:rsidR="008B2163" w:rsidRDefault="008B2163" w:rsidP="004570B8">
      <w:pPr>
        <w:pStyle w:val="NormalWeb"/>
        <w:spacing w:before="0" w:beforeAutospacing="0" w:after="240" w:afterAutospacing="0" w:line="276" w:lineRule="auto"/>
        <w:jc w:val="both"/>
        <w:rPr>
          <w:color w:val="000000" w:themeColor="text1"/>
          <w:sz w:val="26"/>
          <w:szCs w:val="26"/>
        </w:rPr>
      </w:pPr>
      <w:r w:rsidRPr="008B2163">
        <w:rPr>
          <w:color w:val="000000" w:themeColor="text1"/>
          <w:sz w:val="26"/>
          <w:szCs w:val="26"/>
        </w:rPr>
        <w:t>Ở Việt Nam đang lưu hành một số thuốc chứa natriphosphat có chỉ định táo bón, ví dụ Usefma Enema solution...</w:t>
      </w:r>
    </w:p>
    <w:p w:rsidR="00996848" w:rsidRDefault="004570B8" w:rsidP="004570B8">
      <w:pPr>
        <w:pStyle w:val="NormalWeb"/>
        <w:spacing w:before="0" w:beforeAutospacing="0" w:after="240" w:afterAutospacing="0" w:line="276" w:lineRule="auto"/>
        <w:jc w:val="both"/>
        <w:rPr>
          <w:i/>
          <w:color w:val="000000" w:themeColor="text1"/>
          <w:sz w:val="22"/>
          <w:szCs w:val="22"/>
        </w:rPr>
      </w:pPr>
      <w:r w:rsidRPr="004570B8">
        <w:rPr>
          <w:b/>
          <w:i/>
          <w:color w:val="000000" w:themeColor="text1"/>
          <w:sz w:val="22"/>
          <w:szCs w:val="22"/>
          <w:u w:val="single"/>
        </w:rPr>
        <w:t>Nguồn</w:t>
      </w:r>
      <w:r>
        <w:rPr>
          <w:i/>
          <w:color w:val="000000" w:themeColor="text1"/>
          <w:sz w:val="22"/>
          <w:szCs w:val="22"/>
        </w:rPr>
        <w:t xml:space="preserve">: </w:t>
      </w:r>
      <w:hyperlink r:id="rId9" w:history="1">
        <w:r w:rsidRPr="00FD499B">
          <w:rPr>
            <w:rStyle w:val="Hyperlink"/>
            <w:i/>
            <w:sz w:val="22"/>
            <w:szCs w:val="22"/>
          </w:rPr>
          <w:t>http://canhgiacduoc.org.vn</w:t>
        </w:r>
      </w:hyperlink>
    </w:p>
    <w:p w:rsidR="004570B8" w:rsidRPr="004570B8" w:rsidRDefault="008B2163" w:rsidP="004570B8">
      <w:pPr>
        <w:pStyle w:val="NormalWeb"/>
        <w:numPr>
          <w:ilvl w:val="1"/>
          <w:numId w:val="1"/>
        </w:numPr>
        <w:tabs>
          <w:tab w:val="clear" w:pos="360"/>
        </w:tabs>
        <w:spacing w:before="0" w:beforeAutospacing="0" w:after="240" w:afterAutospacing="0" w:line="276" w:lineRule="auto"/>
        <w:ind w:left="0"/>
        <w:jc w:val="both"/>
        <w:rPr>
          <w:b/>
          <w:sz w:val="26"/>
          <w:szCs w:val="26"/>
          <w:u w:val="single"/>
        </w:rPr>
      </w:pPr>
      <w:r w:rsidRPr="008B2163">
        <w:rPr>
          <w:b/>
          <w:sz w:val="26"/>
          <w:szCs w:val="26"/>
          <w:u w:val="single"/>
        </w:rPr>
        <w:t>Bất thường hoạt động não liên quan đến “”nghiện dùng internet”</w:t>
      </w:r>
    </w:p>
    <w:p w:rsidR="004570B8" w:rsidRPr="004570B8" w:rsidRDefault="008B2163" w:rsidP="004570B8">
      <w:pPr>
        <w:spacing w:after="240" w:line="276" w:lineRule="auto"/>
        <w:jc w:val="both"/>
        <w:rPr>
          <w:sz w:val="26"/>
          <w:szCs w:val="26"/>
        </w:rPr>
      </w:pPr>
      <w:r w:rsidRPr="008B2163">
        <w:rPr>
          <w:sz w:val="26"/>
          <w:szCs w:val="26"/>
        </w:rPr>
        <w:t xml:space="preserve">Một khảo sát thống kê vừa được thực hiện dựa trên 13 nghiên cứu trước đó đã chỉ ra rằng tình trạng rối loạn nghiện Internet (Internet Addiction Disorder – IAD), đặc biệt với những người trẻ thành niên nghiện game online, có xu hướng dẫn đến những bất thường về hoạt động của não. </w:t>
      </w:r>
    </w:p>
    <w:p w:rsidR="004570B8" w:rsidRPr="004570B8" w:rsidRDefault="008B2163" w:rsidP="004570B8">
      <w:pPr>
        <w:pStyle w:val="ListParagraph"/>
        <w:numPr>
          <w:ilvl w:val="5"/>
          <w:numId w:val="1"/>
        </w:numPr>
        <w:spacing w:after="240" w:line="276" w:lineRule="auto"/>
        <w:ind w:left="360" w:hanging="360"/>
        <w:jc w:val="both"/>
        <w:rPr>
          <w:b/>
          <w:sz w:val="26"/>
          <w:szCs w:val="26"/>
          <w:u w:val="single"/>
        </w:rPr>
      </w:pPr>
      <w:r w:rsidRPr="004570B8">
        <w:rPr>
          <w:b/>
          <w:sz w:val="26"/>
          <w:szCs w:val="26"/>
          <w:u w:val="single"/>
        </w:rPr>
        <w:lastRenderedPageBreak/>
        <w:t>Thay đổi dòng máu não</w:t>
      </w:r>
    </w:p>
    <w:p w:rsidR="008B2163" w:rsidRPr="008B2163" w:rsidRDefault="008B2163" w:rsidP="004570B8">
      <w:pPr>
        <w:spacing w:after="240" w:line="276" w:lineRule="auto"/>
        <w:jc w:val="both"/>
        <w:rPr>
          <w:sz w:val="26"/>
          <w:szCs w:val="26"/>
        </w:rPr>
      </w:pPr>
      <w:r w:rsidRPr="008B2163">
        <w:rPr>
          <w:sz w:val="26"/>
          <w:szCs w:val="26"/>
        </w:rPr>
        <w:t>Tình trạng nghiện internet dẫn đến thay đổi hiện trạng dòng máu não. “Quan sát cho thấy có sự gia tăng máu đến những vùng não liên quan đến cảm giác hưng phấn, niềm vui, sự thỏa mãn và ngược lại có sự giảm máu đến những vùng liên quan đến khả năng lắng nghe và xử lý hìn</w:t>
      </w:r>
      <w:r w:rsidR="00EE24C4">
        <w:rPr>
          <w:sz w:val="26"/>
          <w:szCs w:val="26"/>
        </w:rPr>
        <w:t>h ảnh”</w:t>
      </w:r>
      <w:r w:rsidRPr="008B2163">
        <w:rPr>
          <w:sz w:val="26"/>
          <w:szCs w:val="26"/>
        </w:rPr>
        <w:t>, bác sĩ Sree Jadapalle đại học y khoa Atlanta, bang Georgia, Hoa Kỳ nhận định.</w:t>
      </w:r>
    </w:p>
    <w:p w:rsidR="008B2163" w:rsidRPr="008B2163" w:rsidRDefault="008B2163" w:rsidP="004570B8">
      <w:pPr>
        <w:spacing w:after="240" w:line="276" w:lineRule="auto"/>
        <w:jc w:val="both"/>
        <w:rPr>
          <w:sz w:val="26"/>
          <w:szCs w:val="26"/>
        </w:rPr>
      </w:pPr>
      <w:r w:rsidRPr="008B2163">
        <w:rPr>
          <w:sz w:val="26"/>
          <w:szCs w:val="26"/>
        </w:rPr>
        <w:t>Tỉ lệ IAD trong những người trẻ Hoa Kỳ vào khoảng 26.3 % là một con số rất lớn và thậm chí còn cao hơn tỉ lệ nghiện rượu và chất kích thích tại nước này.</w:t>
      </w:r>
    </w:p>
    <w:p w:rsidR="008B2163" w:rsidRPr="008B2163" w:rsidRDefault="008B2163" w:rsidP="004570B8">
      <w:pPr>
        <w:spacing w:after="240" w:line="276" w:lineRule="auto"/>
        <w:jc w:val="both"/>
        <w:rPr>
          <w:sz w:val="26"/>
          <w:szCs w:val="26"/>
        </w:rPr>
      </w:pPr>
      <w:r w:rsidRPr="008B2163">
        <w:rPr>
          <w:sz w:val="26"/>
          <w:szCs w:val="26"/>
        </w:rPr>
        <w:t>IAD hiện vẫn chưa được xem là một rối loạn về tâm thần; tuy nhiên, một số tiêu chí đã được đề xuất nhằm chẩn đoán tình trạng này bao gồm: mất tự chủ bản thân trước việc sử dụng internet, biểu hiện suy nhược, hay lo âu, thay đổi tính tình, cam chịu, xa lánh và sa sút trong các hoạt động xã hội, trường lớp hoặc nghề nghiệp. Một tiêu chí khác để đánh giá là đối tượng thường sử dụng internet không vì mục đích học tập hoặc công việc trong hơn 6 giờ môt ngày, kéo dài trong hơn 6 tháng.</w:t>
      </w:r>
    </w:p>
    <w:p w:rsidR="004570B8" w:rsidRPr="008B2163" w:rsidRDefault="008B2163" w:rsidP="004570B8">
      <w:pPr>
        <w:spacing w:after="240" w:line="276" w:lineRule="auto"/>
        <w:jc w:val="both"/>
        <w:rPr>
          <w:sz w:val="26"/>
          <w:szCs w:val="26"/>
        </w:rPr>
      </w:pPr>
      <w:r w:rsidRPr="008B2163">
        <w:rPr>
          <w:sz w:val="26"/>
          <w:szCs w:val="26"/>
        </w:rPr>
        <w:t xml:space="preserve">Nghiên cứu còn cho thấy một mối tương quan rõ rệt giữa IAD và các rối loạn tâm thần trong đó có trầm cảm, ý muốn tự tử, rối loạn ám ảnh cưỡng chế, rối loạn ăn uống, rối loạn tăng động giảm tập trung, đi kèm với với lạm dụng rượu và chất kích thích. </w:t>
      </w:r>
    </w:p>
    <w:p w:rsidR="008B2163" w:rsidRPr="004570B8" w:rsidRDefault="008B2163" w:rsidP="004570B8">
      <w:pPr>
        <w:pStyle w:val="ListParagraph"/>
        <w:numPr>
          <w:ilvl w:val="5"/>
          <w:numId w:val="1"/>
        </w:numPr>
        <w:spacing w:after="240" w:line="276" w:lineRule="auto"/>
        <w:ind w:left="360" w:hanging="360"/>
        <w:jc w:val="both"/>
        <w:rPr>
          <w:b/>
          <w:sz w:val="26"/>
          <w:szCs w:val="26"/>
          <w:u w:val="single"/>
        </w:rPr>
      </w:pPr>
      <w:r w:rsidRPr="004570B8">
        <w:rPr>
          <w:b/>
          <w:sz w:val="26"/>
          <w:szCs w:val="26"/>
          <w:u w:val="single"/>
        </w:rPr>
        <w:t>Thay đổi lượng Dopamin</w:t>
      </w:r>
    </w:p>
    <w:p w:rsidR="004570B8" w:rsidRDefault="008B2163" w:rsidP="004570B8">
      <w:pPr>
        <w:spacing w:after="240" w:line="276" w:lineRule="auto"/>
        <w:jc w:val="both"/>
        <w:rPr>
          <w:sz w:val="26"/>
          <w:szCs w:val="26"/>
        </w:rPr>
      </w:pPr>
      <w:r w:rsidRPr="008B2163">
        <w:rPr>
          <w:sz w:val="26"/>
          <w:szCs w:val="26"/>
        </w:rPr>
        <w:t>Nghiện internet cũng có liên quan đến thay đổi lượng dopamin. Kết quả cho thấy, sử dụng internet kéo dài làm giảm các trung gian vận chuyển dopamin, kéo theo sự  ứ đọng chất này tại các khe synap. Sự thừa dopamin làm gia tăng kích thích của các neuron thần kinh ngoại biên, và qua đó tạo cảm giác lâng lâng hưng phấn.</w:t>
      </w:r>
    </w:p>
    <w:p w:rsidR="004570B8" w:rsidRDefault="008B2163" w:rsidP="004570B8">
      <w:pPr>
        <w:spacing w:after="240" w:line="276" w:lineRule="auto"/>
        <w:jc w:val="both"/>
        <w:rPr>
          <w:sz w:val="26"/>
          <w:szCs w:val="26"/>
        </w:rPr>
      </w:pPr>
      <w:r w:rsidRPr="008B2163">
        <w:rPr>
          <w:sz w:val="26"/>
          <w:szCs w:val="26"/>
        </w:rPr>
        <w:t>Kết quả này trùng khớp với tình trạng được ghi nhận trong các rối loạn lạm dụng các chất kích thích và gây nghiện khác.</w:t>
      </w:r>
    </w:p>
    <w:p w:rsidR="008B2163" w:rsidRPr="008B2163" w:rsidRDefault="008B2163" w:rsidP="004570B8">
      <w:pPr>
        <w:spacing w:after="240" w:line="276" w:lineRule="auto"/>
        <w:jc w:val="both"/>
        <w:rPr>
          <w:sz w:val="26"/>
          <w:szCs w:val="26"/>
        </w:rPr>
      </w:pPr>
      <w:r w:rsidRPr="008B2163">
        <w:rPr>
          <w:sz w:val="26"/>
          <w:szCs w:val="26"/>
        </w:rPr>
        <w:t>Tiền sử lâu dài và mức độ nghiện internet cũng liên quan mật thiết đến sự kích hoạt trạng thái lâng lâng, lơ là, không quan tâm và mất ý thức về ngoại cảnh xung quanh.</w:t>
      </w:r>
      <w:r w:rsidR="00EE24C4">
        <w:rPr>
          <w:sz w:val="26"/>
          <w:szCs w:val="26"/>
        </w:rPr>
        <w:t xml:space="preserve"> </w:t>
      </w:r>
      <w:r w:rsidRPr="008B2163">
        <w:rPr>
          <w:sz w:val="26"/>
          <w:szCs w:val="26"/>
        </w:rPr>
        <w:t>Bên cạnh đó, ở người nghiện internet có sự gia tăng nhạy cảm với các phần thưởng, gia tăng sự liều lĩnh, và tính háo thắng trong khi giảm quan tâm và không màng đến các hao tổn về vật chất như tiền bạc. Các đặc điểm này khiến cho họ vô cảm, không ý thức được về hậu quả gây ra bởi các hành vi của mình và vì thế gây khó khăn cho các hoạt động tương tác xã hội cũng như học tập, công việc.</w:t>
      </w:r>
    </w:p>
    <w:p w:rsidR="008B2163" w:rsidRPr="004570B8" w:rsidRDefault="008B2163" w:rsidP="004570B8">
      <w:pPr>
        <w:pStyle w:val="ListParagraph"/>
        <w:numPr>
          <w:ilvl w:val="5"/>
          <w:numId w:val="1"/>
        </w:numPr>
        <w:spacing w:after="240" w:line="276" w:lineRule="auto"/>
        <w:ind w:left="360" w:hanging="360"/>
        <w:jc w:val="both"/>
        <w:rPr>
          <w:b/>
          <w:sz w:val="26"/>
          <w:szCs w:val="26"/>
          <w:u w:val="single"/>
        </w:rPr>
      </w:pPr>
      <w:r w:rsidRPr="004570B8">
        <w:rPr>
          <w:b/>
          <w:sz w:val="26"/>
          <w:szCs w:val="26"/>
          <w:u w:val="single"/>
        </w:rPr>
        <w:t>Đánh giá kết quả</w:t>
      </w:r>
    </w:p>
    <w:p w:rsidR="008B2163" w:rsidRPr="008B2163" w:rsidRDefault="008B2163" w:rsidP="004570B8">
      <w:pPr>
        <w:spacing w:after="240" w:line="276" w:lineRule="auto"/>
        <w:jc w:val="both"/>
        <w:rPr>
          <w:sz w:val="26"/>
          <w:szCs w:val="26"/>
        </w:rPr>
      </w:pPr>
      <w:r w:rsidRPr="008B2163">
        <w:rPr>
          <w:sz w:val="26"/>
          <w:szCs w:val="26"/>
        </w:rPr>
        <w:lastRenderedPageBreak/>
        <w:t xml:space="preserve">IAD là một tình trạng đang gia tăng trong xã hội, tuy nhiên hiện vẫn chỉ có rất ít các nghiên cứu hình ảnh học được tiến hành chỉ ra các thay đổi cấu trúc và hoạt động não bộ của những người trẻ nghiện internet. </w:t>
      </w:r>
    </w:p>
    <w:p w:rsidR="008B2163" w:rsidRPr="008B2163" w:rsidRDefault="008B2163" w:rsidP="004570B8">
      <w:pPr>
        <w:spacing w:after="240" w:line="276" w:lineRule="auto"/>
        <w:jc w:val="both"/>
        <w:rPr>
          <w:sz w:val="26"/>
          <w:szCs w:val="26"/>
        </w:rPr>
      </w:pPr>
      <w:r w:rsidRPr="008B2163">
        <w:rPr>
          <w:sz w:val="26"/>
          <w:szCs w:val="26"/>
        </w:rPr>
        <w:t xml:space="preserve">Do đó, các cơ sở về dịch tễ và sinh bệnh học vẫn chưa đủ rõ ràng để có thể kết luận hoặc làm tiền đề cho một bước đi nào cụ thể. </w:t>
      </w:r>
    </w:p>
    <w:p w:rsidR="008B2163" w:rsidRPr="008B2163" w:rsidRDefault="008B2163" w:rsidP="004570B8">
      <w:pPr>
        <w:spacing w:after="240" w:line="276" w:lineRule="auto"/>
        <w:jc w:val="both"/>
        <w:rPr>
          <w:sz w:val="26"/>
          <w:szCs w:val="26"/>
        </w:rPr>
      </w:pPr>
      <w:r w:rsidRPr="008B2163">
        <w:rPr>
          <w:sz w:val="26"/>
          <w:szCs w:val="26"/>
        </w:rPr>
        <w:t>Thay vào đó, các khuyến cáo về việc tầm soát triệu chứng và phát hiện sớm tình trạng nghiện internet được đưa ra mạnh mẽ đi kèm với đề xuất sử dụng các thuốc chống trầm cảm, thuốc ức chế tái hấp thu chọn lọc serotonin (SSRI) có thể làm giảm triệu chứng.</w:t>
      </w:r>
    </w:p>
    <w:p w:rsidR="008B2163" w:rsidRPr="008B2163" w:rsidRDefault="008B2163" w:rsidP="004570B8">
      <w:pPr>
        <w:spacing w:after="240" w:line="276" w:lineRule="auto"/>
        <w:jc w:val="both"/>
        <w:rPr>
          <w:sz w:val="26"/>
          <w:szCs w:val="26"/>
        </w:rPr>
      </w:pPr>
      <w:r w:rsidRPr="008B2163">
        <w:rPr>
          <w:sz w:val="26"/>
          <w:szCs w:val="26"/>
        </w:rPr>
        <w:t>“Ngoài ra, một số nước nam Á còn tổ chức các trung tâm cai nghiện internet tập trung vào các thiệp tâm lý học.” dẫn lời BS Jadapelle.</w:t>
      </w:r>
    </w:p>
    <w:p w:rsidR="004570B8" w:rsidRDefault="004570B8" w:rsidP="004570B8">
      <w:pPr>
        <w:pStyle w:val="NormalWeb"/>
        <w:spacing w:before="0" w:beforeAutospacing="0" w:after="240" w:afterAutospacing="0" w:line="276" w:lineRule="auto"/>
        <w:jc w:val="both"/>
        <w:rPr>
          <w:i/>
          <w:color w:val="000000" w:themeColor="text1"/>
          <w:sz w:val="22"/>
          <w:szCs w:val="22"/>
        </w:rPr>
      </w:pPr>
      <w:r w:rsidRPr="004570B8">
        <w:rPr>
          <w:b/>
          <w:color w:val="000000" w:themeColor="text1"/>
          <w:sz w:val="22"/>
          <w:szCs w:val="22"/>
          <w:u w:val="single"/>
        </w:rPr>
        <w:t>Nguồn:</w:t>
      </w:r>
      <w:r>
        <w:rPr>
          <w:color w:val="000000" w:themeColor="text1"/>
          <w:sz w:val="22"/>
          <w:szCs w:val="22"/>
        </w:rPr>
        <w:t xml:space="preserve"> </w:t>
      </w:r>
      <w:r w:rsidRPr="004570B8">
        <w:rPr>
          <w:i/>
          <w:color w:val="000000" w:themeColor="text1"/>
          <w:sz w:val="22"/>
          <w:szCs w:val="22"/>
        </w:rPr>
        <w:t>Brain abnormalities linked to ‘Internet addiction’</w:t>
      </w:r>
      <w:r>
        <w:rPr>
          <w:i/>
          <w:color w:val="000000" w:themeColor="text1"/>
          <w:sz w:val="22"/>
          <w:szCs w:val="22"/>
        </w:rPr>
        <w:t>|</w:t>
      </w:r>
      <w:r w:rsidRPr="004570B8">
        <w:rPr>
          <w:i/>
          <w:color w:val="000000" w:themeColor="text1"/>
          <w:sz w:val="22"/>
          <w:szCs w:val="22"/>
        </w:rPr>
        <w:t>http://www.medscape.com/viewarticle/824600</w:t>
      </w:r>
    </w:p>
    <w:p w:rsidR="00B90F03" w:rsidRDefault="00B90F03" w:rsidP="004570B8">
      <w:pPr>
        <w:pStyle w:val="NormalWeb"/>
        <w:spacing w:before="0" w:beforeAutospacing="0" w:after="240" w:afterAutospacing="0" w:line="276" w:lineRule="auto"/>
        <w:jc w:val="both"/>
        <w:rPr>
          <w:i/>
          <w:color w:val="000000" w:themeColor="text1"/>
          <w:sz w:val="22"/>
          <w:szCs w:val="22"/>
        </w:rPr>
      </w:pPr>
    </w:p>
    <w:p w:rsidR="00FA3101" w:rsidRPr="00996848" w:rsidRDefault="000F5445" w:rsidP="00996848">
      <w:pPr>
        <w:pStyle w:val="ListParagraph"/>
        <w:numPr>
          <w:ilvl w:val="0"/>
          <w:numId w:val="1"/>
        </w:numPr>
        <w:tabs>
          <w:tab w:val="left" w:pos="6650"/>
        </w:tabs>
        <w:spacing w:after="240" w:line="276" w:lineRule="auto"/>
        <w:jc w:val="center"/>
        <w:rPr>
          <w:b/>
          <w:sz w:val="26"/>
          <w:szCs w:val="26"/>
          <w:u w:val="single"/>
        </w:rPr>
      </w:pPr>
      <w:r w:rsidRPr="00996848">
        <w:rPr>
          <w:b/>
          <w:sz w:val="26"/>
          <w:szCs w:val="26"/>
          <w:u w:val="single"/>
        </w:rPr>
        <w:t>THUỐC ĐÌNH CHỈ LƯU HÀNH – THUỐC RÚT SỐ ĐĂNG KÝ</w:t>
      </w:r>
    </w:p>
    <w:p w:rsidR="00FA3101" w:rsidRDefault="00FA3101" w:rsidP="00996848">
      <w:pPr>
        <w:pStyle w:val="basicparagraph"/>
        <w:numPr>
          <w:ilvl w:val="1"/>
          <w:numId w:val="1"/>
        </w:numPr>
        <w:shd w:val="clear" w:color="auto" w:fill="FFFFFF"/>
        <w:spacing w:before="0" w:beforeAutospacing="0" w:after="0" w:afterAutospacing="0" w:line="276" w:lineRule="auto"/>
        <w:jc w:val="both"/>
        <w:rPr>
          <w:color w:val="000000" w:themeColor="text1"/>
          <w:sz w:val="26"/>
          <w:szCs w:val="26"/>
          <w:lang w:val="en-GB"/>
        </w:rPr>
      </w:pPr>
      <w:r w:rsidRPr="00996848">
        <w:rPr>
          <w:bCs/>
          <w:color w:val="000000" w:themeColor="text1"/>
          <w:sz w:val="26"/>
          <w:szCs w:val="26"/>
          <w:u w:val="single"/>
          <w:lang w:val="en-GB"/>
        </w:rPr>
        <w:t xml:space="preserve">Tạm ngừng sử dụng </w:t>
      </w:r>
      <w:r w:rsidRPr="00996848">
        <w:rPr>
          <w:b/>
          <w:bCs/>
          <w:i/>
          <w:color w:val="000000" w:themeColor="text1"/>
          <w:sz w:val="26"/>
          <w:szCs w:val="26"/>
          <w:u w:val="single"/>
          <w:lang w:val="en-GB"/>
        </w:rPr>
        <w:t>lô thuốc Tatumcef 2g (ceftazidim)</w:t>
      </w:r>
      <w:r w:rsidRPr="00996848">
        <w:rPr>
          <w:bCs/>
          <w:color w:val="000000" w:themeColor="text1"/>
          <w:sz w:val="26"/>
          <w:szCs w:val="26"/>
          <w:u w:val="single"/>
          <w:lang w:val="en-GB"/>
        </w:rPr>
        <w:t>, SĐK: VN-5654-10, số lô: T2005</w:t>
      </w:r>
      <w:r w:rsidR="00996848">
        <w:rPr>
          <w:color w:val="000000" w:themeColor="text1"/>
          <w:sz w:val="26"/>
          <w:szCs w:val="26"/>
          <w:u w:val="single"/>
        </w:rPr>
        <w:t xml:space="preserve">: </w:t>
      </w:r>
      <w:r w:rsidRPr="00996848">
        <w:rPr>
          <w:color w:val="000000" w:themeColor="text1"/>
          <w:sz w:val="26"/>
          <w:szCs w:val="26"/>
          <w:lang w:val="en-GB"/>
        </w:rPr>
        <w:t>Liên quan đến chuỗi các phản ứng có hại nghiêm trọng, ngày 11/12/2013, Cục quản lý Dược đã có công văn số 20918/QLD-CL yêu cầu tạm ngừng sử dụng lô thuốc Tatumcef 2g (ceftazidim) SĐK: VN-5654-10, lô sản xuất T2005 do công ty China Chemical &amp; Pharmaceutical Co., Ltd. (Hsinfong Plant) (Taiwan) sản xuất, Công ty Sunward Pharmaceutical Pte., Ltd. đăng ký, Công ty Cổ phần Xuất Nhập khẩu Y tế Việt Nam nhập ủy thác cho Công ty TNHH Dược phẩm Châu Á Thái Bình Dương.</w:t>
      </w:r>
    </w:p>
    <w:p w:rsidR="00996848" w:rsidRDefault="00996848" w:rsidP="00996848">
      <w:pPr>
        <w:pStyle w:val="basicparagraph"/>
        <w:shd w:val="clear" w:color="auto" w:fill="FFFFFF"/>
        <w:spacing w:before="0" w:beforeAutospacing="0" w:after="0" w:afterAutospacing="0" w:line="276" w:lineRule="auto"/>
        <w:ind w:left="360"/>
        <w:jc w:val="both"/>
        <w:rPr>
          <w:color w:val="000000" w:themeColor="text1"/>
          <w:sz w:val="26"/>
          <w:szCs w:val="26"/>
          <w:lang w:val="en-GB"/>
        </w:rPr>
      </w:pPr>
    </w:p>
    <w:p w:rsidR="00996848" w:rsidRPr="00996848" w:rsidRDefault="00996848" w:rsidP="00996848">
      <w:pPr>
        <w:pStyle w:val="basicparagraph"/>
        <w:shd w:val="clear" w:color="auto" w:fill="FFFFFF"/>
        <w:spacing w:before="0" w:beforeAutospacing="0" w:after="0" w:afterAutospacing="0" w:line="276" w:lineRule="auto"/>
        <w:ind w:left="360" w:hanging="360"/>
        <w:jc w:val="both"/>
        <w:rPr>
          <w:color w:val="000000" w:themeColor="text1"/>
          <w:sz w:val="26"/>
          <w:szCs w:val="26"/>
          <w:u w:val="single"/>
        </w:rPr>
      </w:pPr>
      <w:r w:rsidRPr="00996848">
        <w:rPr>
          <w:bCs/>
          <w:color w:val="000000" w:themeColor="text1"/>
          <w:sz w:val="26"/>
          <w:szCs w:val="26"/>
          <w:lang w:val="en-GB"/>
        </w:rPr>
        <w:t xml:space="preserve">2. </w:t>
      </w:r>
      <w:r w:rsidRPr="00996848">
        <w:rPr>
          <w:bCs/>
          <w:color w:val="000000" w:themeColor="text1"/>
          <w:sz w:val="26"/>
          <w:szCs w:val="26"/>
          <w:u w:val="single"/>
          <w:lang w:val="en-GB"/>
        </w:rPr>
        <w:t xml:space="preserve">Tạm dừng sử dụng </w:t>
      </w:r>
      <w:r w:rsidRPr="00996848">
        <w:rPr>
          <w:b/>
          <w:bCs/>
          <w:i/>
          <w:color w:val="000000" w:themeColor="text1"/>
          <w:sz w:val="26"/>
          <w:szCs w:val="26"/>
          <w:u w:val="single"/>
          <w:lang w:val="en-GB"/>
        </w:rPr>
        <w:t>thuốc Zidimbiotic 1g (ceftazidim)</w:t>
      </w:r>
      <w:r w:rsidRPr="00996848">
        <w:rPr>
          <w:bCs/>
          <w:color w:val="000000" w:themeColor="text1"/>
          <w:sz w:val="26"/>
          <w:szCs w:val="26"/>
          <w:u w:val="single"/>
          <w:lang w:val="en-GB"/>
        </w:rPr>
        <w:t>, SĐK: VD-19012-13, số lô: 010913</w:t>
      </w:r>
      <w:r>
        <w:rPr>
          <w:color w:val="000000" w:themeColor="text1"/>
          <w:sz w:val="26"/>
          <w:szCs w:val="26"/>
          <w:u w:val="single"/>
        </w:rPr>
        <w:t xml:space="preserve">: </w:t>
      </w:r>
      <w:r w:rsidRPr="00996848">
        <w:rPr>
          <w:color w:val="000000" w:themeColor="text1"/>
          <w:sz w:val="26"/>
          <w:szCs w:val="26"/>
          <w:lang w:val="en-GB"/>
        </w:rPr>
        <w:t>Ngày 24/12/2013, Cục quản lý Dược đã có công văn số 21642/QLD-CL yêu cầu tạm ngừng sử dụng thuốc Zidimbiotic 1g (ceftazidim), số lô: 010913, HSD: 16/09/2016, SĐK: VD-19012-13 do Công ty cổ phần dược phẩm Tenamyd sản xuất.</w:t>
      </w:r>
    </w:p>
    <w:p w:rsidR="00996848" w:rsidRPr="00996848" w:rsidRDefault="00996848" w:rsidP="00996848">
      <w:pPr>
        <w:pStyle w:val="basicparagraph"/>
        <w:shd w:val="clear" w:color="auto" w:fill="FFFFFF"/>
        <w:spacing w:before="0" w:beforeAutospacing="0" w:after="0" w:afterAutospacing="0"/>
        <w:ind w:left="360"/>
        <w:jc w:val="both"/>
        <w:rPr>
          <w:color w:val="000000" w:themeColor="text1"/>
          <w:sz w:val="26"/>
          <w:szCs w:val="26"/>
          <w:u w:val="single"/>
        </w:rPr>
      </w:pPr>
    </w:p>
    <w:p w:rsidR="00FA3101" w:rsidRDefault="00996848" w:rsidP="00EE24C4">
      <w:pPr>
        <w:pStyle w:val="ListParagraph"/>
        <w:ind w:left="0"/>
        <w:jc w:val="center"/>
        <w:rPr>
          <w:sz w:val="28"/>
          <w:szCs w:val="28"/>
        </w:rPr>
      </w:pPr>
      <w:r w:rsidRPr="00996848">
        <w:rPr>
          <w:sz w:val="28"/>
          <w:szCs w:val="28"/>
        </w:rPr>
        <w:sym w:font="Wingdings 2" w:char="F061"/>
      </w:r>
      <w:r w:rsidRPr="00996848">
        <w:rPr>
          <w:sz w:val="28"/>
          <w:szCs w:val="28"/>
        </w:rPr>
        <w:sym w:font="Wingdings 2" w:char="F062"/>
      </w:r>
      <w:r w:rsidRPr="00996848">
        <w:rPr>
          <w:sz w:val="28"/>
          <w:szCs w:val="28"/>
        </w:rPr>
        <w:t>|</w:t>
      </w:r>
      <w:r w:rsidRPr="00996848">
        <w:rPr>
          <w:sz w:val="28"/>
          <w:szCs w:val="28"/>
        </w:rPr>
        <w:sym w:font="Wingdings 2" w:char="F061"/>
      </w:r>
      <w:r w:rsidRPr="00996848">
        <w:rPr>
          <w:sz w:val="28"/>
          <w:szCs w:val="28"/>
        </w:rPr>
        <w:sym w:font="Wingdings 2" w:char="F062"/>
      </w:r>
    </w:p>
    <w:p w:rsidR="0063342E" w:rsidRDefault="0063342E" w:rsidP="00996848">
      <w:pPr>
        <w:pStyle w:val="ListParagraph"/>
        <w:jc w:val="center"/>
        <w:rPr>
          <w:sz w:val="28"/>
          <w:szCs w:val="28"/>
        </w:rPr>
      </w:pPr>
    </w:p>
    <w:p w:rsidR="0063342E" w:rsidRPr="00EE24C4" w:rsidRDefault="0063342E" w:rsidP="00EE24C4">
      <w:pPr>
        <w:rPr>
          <w:b/>
          <w:sz w:val="28"/>
          <w:szCs w:val="28"/>
        </w:rPr>
      </w:pPr>
    </w:p>
    <w:sectPr w:rsidR="0063342E" w:rsidRPr="00EE24C4" w:rsidSect="0063342E">
      <w:footerReference w:type="default" r:id="rId10"/>
      <w:pgSz w:w="12240" w:h="15840"/>
      <w:pgMar w:top="108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C2A" w:rsidRDefault="00E96C2A" w:rsidP="00996848">
      <w:r>
        <w:separator/>
      </w:r>
    </w:p>
  </w:endnote>
  <w:endnote w:type="continuationSeparator" w:id="1">
    <w:p w:rsidR="00E96C2A" w:rsidRDefault="00E96C2A" w:rsidP="0099684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07188"/>
      <w:docPartObj>
        <w:docPartGallery w:val="Page Numbers (Bottom of Page)"/>
        <w:docPartUnique/>
      </w:docPartObj>
    </w:sdtPr>
    <w:sdtContent>
      <w:p w:rsidR="00996848" w:rsidRDefault="00996848">
        <w:pPr>
          <w:pStyle w:val="Footer"/>
          <w:jc w:val="center"/>
        </w:pPr>
      </w:p>
      <w:p w:rsidR="00996848" w:rsidRDefault="00E316AC">
        <w:pPr>
          <w:pStyle w:val="Footer"/>
          <w:jc w:val="center"/>
        </w:pPr>
        <w:fldSimple w:instr=" PAGE   \* MERGEFORMAT ">
          <w:r w:rsidR="00B90F03">
            <w:rPr>
              <w:noProof/>
            </w:rPr>
            <w:t>1</w:t>
          </w:r>
        </w:fldSimple>
      </w:p>
    </w:sdtContent>
  </w:sdt>
  <w:p w:rsidR="00996848" w:rsidRDefault="009968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C2A" w:rsidRDefault="00E96C2A" w:rsidP="00996848">
      <w:r>
        <w:separator/>
      </w:r>
    </w:p>
  </w:footnote>
  <w:footnote w:type="continuationSeparator" w:id="1">
    <w:p w:rsidR="00E96C2A" w:rsidRDefault="00E96C2A" w:rsidP="009968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21D7D"/>
    <w:multiLevelType w:val="hybridMultilevel"/>
    <w:tmpl w:val="26AE33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2D2346"/>
    <w:multiLevelType w:val="hybridMultilevel"/>
    <w:tmpl w:val="49FA5D94"/>
    <w:lvl w:ilvl="0" w:tplc="81EA804C">
      <w:start w:val="1"/>
      <w:numFmt w:val="upperRoman"/>
      <w:lvlText w:val="%1."/>
      <w:lvlJc w:val="left"/>
      <w:pPr>
        <w:tabs>
          <w:tab w:val="num" w:pos="720"/>
        </w:tabs>
        <w:ind w:left="720" w:hanging="720"/>
      </w:pPr>
      <w:rPr>
        <w:rFonts w:hint="default"/>
      </w:rPr>
    </w:lvl>
    <w:lvl w:ilvl="1" w:tplc="80BE5842">
      <w:start w:val="1"/>
      <w:numFmt w:val="decimal"/>
      <w:lvlText w:val="%2."/>
      <w:lvlJc w:val="left"/>
      <w:pPr>
        <w:tabs>
          <w:tab w:val="num" w:pos="360"/>
        </w:tabs>
        <w:ind w:left="360" w:hanging="360"/>
      </w:pPr>
      <w:rPr>
        <w:rFonts w:hint="default"/>
        <w:i w:val="0"/>
        <w:color w:val="auto"/>
      </w:rPr>
    </w:lvl>
    <w:lvl w:ilvl="2" w:tplc="0409000F">
      <w:start w:val="1"/>
      <w:numFmt w:val="decimal"/>
      <w:lvlText w:val="%3."/>
      <w:lvlJc w:val="left"/>
      <w:pPr>
        <w:tabs>
          <w:tab w:val="num" w:pos="2340"/>
        </w:tabs>
        <w:ind w:left="2340" w:hanging="360"/>
      </w:pPr>
      <w:rPr>
        <w:rFonts w:hint="default"/>
      </w:rPr>
    </w:lvl>
    <w:lvl w:ilvl="3" w:tplc="6D084B6E">
      <w:start w:val="7"/>
      <w:numFmt w:val="decimal"/>
      <w:lvlText w:val="%4"/>
      <w:lvlJc w:val="left"/>
      <w:pPr>
        <w:tabs>
          <w:tab w:val="num" w:pos="2880"/>
        </w:tabs>
        <w:ind w:left="2880" w:hanging="360"/>
      </w:pPr>
      <w:rPr>
        <w:rFonts w:hint="default"/>
      </w:rPr>
    </w:lvl>
    <w:lvl w:ilvl="4" w:tplc="0AFCE7A6">
      <w:start w:val="3"/>
      <w:numFmt w:val="bullet"/>
      <w:lvlText w:val="-"/>
      <w:lvlJc w:val="left"/>
      <w:pPr>
        <w:ind w:left="3763" w:hanging="360"/>
      </w:pPr>
      <w:rPr>
        <w:rFonts w:ascii="Times New Roman" w:eastAsia="Times New Roman" w:hAnsi="Times New Roman" w:cs="Times New Roman" w:hint="default"/>
      </w:rPr>
    </w:lvl>
    <w:lvl w:ilvl="5" w:tplc="7AD4999E">
      <w:start w:val="1"/>
      <w:numFmt w:val="lowerRoman"/>
      <w:lvlText w:val="%6."/>
      <w:lvlJc w:val="left"/>
      <w:pPr>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94D7984"/>
    <w:multiLevelType w:val="multilevel"/>
    <w:tmpl w:val="7CC87176"/>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nsid w:val="3A5B7BED"/>
    <w:multiLevelType w:val="hybridMultilevel"/>
    <w:tmpl w:val="2EA272BC"/>
    <w:lvl w:ilvl="0" w:tplc="81EA804C">
      <w:start w:val="1"/>
      <w:numFmt w:val="upp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ED7A53"/>
    <w:multiLevelType w:val="hybridMultilevel"/>
    <w:tmpl w:val="150A8D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441D89"/>
    <w:multiLevelType w:val="hybridMultilevel"/>
    <w:tmpl w:val="AE5EDED0"/>
    <w:lvl w:ilvl="0" w:tplc="86EEDA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BE4CA2"/>
    <w:multiLevelType w:val="hybridMultilevel"/>
    <w:tmpl w:val="1C16F5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3C03B2"/>
    <w:multiLevelType w:val="hybridMultilevel"/>
    <w:tmpl w:val="C980D2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DC69F3"/>
    <w:multiLevelType w:val="hybridMultilevel"/>
    <w:tmpl w:val="5CF24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CE3B7A"/>
    <w:multiLevelType w:val="hybridMultilevel"/>
    <w:tmpl w:val="7396AE16"/>
    <w:lvl w:ilvl="0" w:tplc="395865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2"/>
  </w:num>
  <w:num w:numId="5">
    <w:abstractNumId w:val="8"/>
  </w:num>
  <w:num w:numId="6">
    <w:abstractNumId w:val="6"/>
  </w:num>
  <w:num w:numId="7">
    <w:abstractNumId w:val="7"/>
  </w:num>
  <w:num w:numId="8">
    <w:abstractNumId w:val="0"/>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readOnly" w:enforcement="0"/>
  <w:defaultTabStop w:val="720"/>
  <w:characterSpacingControl w:val="doNotCompress"/>
  <w:footnotePr>
    <w:footnote w:id="0"/>
    <w:footnote w:id="1"/>
  </w:footnotePr>
  <w:endnotePr>
    <w:endnote w:id="0"/>
    <w:endnote w:id="1"/>
  </w:endnotePr>
  <w:compat/>
  <w:rsids>
    <w:rsidRoot w:val="000F5445"/>
    <w:rsid w:val="000606A6"/>
    <w:rsid w:val="000B4866"/>
    <w:rsid w:val="000F5445"/>
    <w:rsid w:val="00440532"/>
    <w:rsid w:val="004570B8"/>
    <w:rsid w:val="00463323"/>
    <w:rsid w:val="00612683"/>
    <w:rsid w:val="0063342E"/>
    <w:rsid w:val="00676F0E"/>
    <w:rsid w:val="006E4C3A"/>
    <w:rsid w:val="007078D0"/>
    <w:rsid w:val="007C275B"/>
    <w:rsid w:val="008331F7"/>
    <w:rsid w:val="00860EC8"/>
    <w:rsid w:val="008B2163"/>
    <w:rsid w:val="00996848"/>
    <w:rsid w:val="00B85F9D"/>
    <w:rsid w:val="00B90F03"/>
    <w:rsid w:val="00DC7015"/>
    <w:rsid w:val="00E316AC"/>
    <w:rsid w:val="00E823D7"/>
    <w:rsid w:val="00E96C2A"/>
    <w:rsid w:val="00EC14FC"/>
    <w:rsid w:val="00EE24C4"/>
    <w:rsid w:val="00FA3101"/>
    <w:rsid w:val="00FC3417"/>
    <w:rsid w:val="00FF63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4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445"/>
    <w:pPr>
      <w:ind w:left="720"/>
      <w:contextualSpacing/>
    </w:pPr>
  </w:style>
  <w:style w:type="character" w:customStyle="1" w:styleId="apple-style-span">
    <w:name w:val="apple-style-span"/>
    <w:basedOn w:val="DefaultParagraphFont"/>
    <w:rsid w:val="000F5445"/>
  </w:style>
  <w:style w:type="paragraph" w:styleId="NormalWeb">
    <w:name w:val="Normal (Web)"/>
    <w:basedOn w:val="Normal"/>
    <w:uiPriority w:val="99"/>
    <w:unhideWhenUsed/>
    <w:rsid w:val="00EC14FC"/>
    <w:pPr>
      <w:spacing w:before="100" w:beforeAutospacing="1" w:after="100" w:afterAutospacing="1"/>
    </w:pPr>
  </w:style>
  <w:style w:type="paragraph" w:styleId="BalloonText">
    <w:name w:val="Balloon Text"/>
    <w:basedOn w:val="Normal"/>
    <w:link w:val="BalloonTextChar"/>
    <w:uiPriority w:val="99"/>
    <w:semiHidden/>
    <w:unhideWhenUsed/>
    <w:rsid w:val="008B2163"/>
    <w:rPr>
      <w:rFonts w:ascii="Tahoma" w:hAnsi="Tahoma" w:cs="Tahoma"/>
      <w:sz w:val="16"/>
      <w:szCs w:val="16"/>
    </w:rPr>
  </w:style>
  <w:style w:type="character" w:customStyle="1" w:styleId="BalloonTextChar">
    <w:name w:val="Balloon Text Char"/>
    <w:basedOn w:val="DefaultParagraphFont"/>
    <w:link w:val="BalloonText"/>
    <w:uiPriority w:val="99"/>
    <w:semiHidden/>
    <w:rsid w:val="008B2163"/>
    <w:rPr>
      <w:rFonts w:ascii="Tahoma" w:eastAsia="Times New Roman" w:hAnsi="Tahoma" w:cs="Tahoma"/>
      <w:sz w:val="16"/>
      <w:szCs w:val="16"/>
    </w:rPr>
  </w:style>
  <w:style w:type="character" w:styleId="Hyperlink">
    <w:name w:val="Hyperlink"/>
    <w:basedOn w:val="DefaultParagraphFont"/>
    <w:uiPriority w:val="99"/>
    <w:unhideWhenUsed/>
    <w:rsid w:val="004570B8"/>
    <w:rPr>
      <w:color w:val="0000FF" w:themeColor="hyperlink"/>
      <w:u w:val="single"/>
    </w:rPr>
  </w:style>
  <w:style w:type="paragraph" w:customStyle="1" w:styleId="basicparagraph">
    <w:name w:val="basicparagraph"/>
    <w:basedOn w:val="Normal"/>
    <w:rsid w:val="00FA3101"/>
    <w:pPr>
      <w:spacing w:before="100" w:beforeAutospacing="1" w:after="100" w:afterAutospacing="1"/>
    </w:pPr>
  </w:style>
  <w:style w:type="paragraph" w:styleId="Header">
    <w:name w:val="header"/>
    <w:basedOn w:val="Normal"/>
    <w:link w:val="HeaderChar"/>
    <w:uiPriority w:val="99"/>
    <w:semiHidden/>
    <w:unhideWhenUsed/>
    <w:rsid w:val="00996848"/>
    <w:pPr>
      <w:tabs>
        <w:tab w:val="center" w:pos="4680"/>
        <w:tab w:val="right" w:pos="9360"/>
      </w:tabs>
    </w:pPr>
  </w:style>
  <w:style w:type="character" w:customStyle="1" w:styleId="HeaderChar">
    <w:name w:val="Header Char"/>
    <w:basedOn w:val="DefaultParagraphFont"/>
    <w:link w:val="Header"/>
    <w:uiPriority w:val="99"/>
    <w:semiHidden/>
    <w:rsid w:val="009968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6848"/>
    <w:pPr>
      <w:tabs>
        <w:tab w:val="center" w:pos="4680"/>
        <w:tab w:val="right" w:pos="9360"/>
      </w:tabs>
    </w:pPr>
  </w:style>
  <w:style w:type="character" w:customStyle="1" w:styleId="FooterChar">
    <w:name w:val="Footer Char"/>
    <w:basedOn w:val="DefaultParagraphFont"/>
    <w:link w:val="Footer"/>
    <w:uiPriority w:val="99"/>
    <w:rsid w:val="0099684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56683">
      <w:bodyDiv w:val="1"/>
      <w:marLeft w:val="0"/>
      <w:marRight w:val="0"/>
      <w:marTop w:val="0"/>
      <w:marBottom w:val="0"/>
      <w:divBdr>
        <w:top w:val="none" w:sz="0" w:space="0" w:color="auto"/>
        <w:left w:val="none" w:sz="0" w:space="0" w:color="auto"/>
        <w:bottom w:val="none" w:sz="0" w:space="0" w:color="auto"/>
        <w:right w:val="none" w:sz="0" w:space="0" w:color="auto"/>
      </w:divBdr>
    </w:div>
    <w:div w:id="9455556">
      <w:bodyDiv w:val="1"/>
      <w:marLeft w:val="0"/>
      <w:marRight w:val="0"/>
      <w:marTop w:val="0"/>
      <w:marBottom w:val="0"/>
      <w:divBdr>
        <w:top w:val="none" w:sz="0" w:space="0" w:color="auto"/>
        <w:left w:val="none" w:sz="0" w:space="0" w:color="auto"/>
        <w:bottom w:val="none" w:sz="0" w:space="0" w:color="auto"/>
        <w:right w:val="none" w:sz="0" w:space="0" w:color="auto"/>
      </w:divBdr>
    </w:div>
    <w:div w:id="379743567">
      <w:bodyDiv w:val="1"/>
      <w:marLeft w:val="0"/>
      <w:marRight w:val="0"/>
      <w:marTop w:val="0"/>
      <w:marBottom w:val="0"/>
      <w:divBdr>
        <w:top w:val="none" w:sz="0" w:space="0" w:color="auto"/>
        <w:left w:val="none" w:sz="0" w:space="0" w:color="auto"/>
        <w:bottom w:val="none" w:sz="0" w:space="0" w:color="auto"/>
        <w:right w:val="none" w:sz="0" w:space="0" w:color="auto"/>
      </w:divBdr>
    </w:div>
    <w:div w:id="979265299">
      <w:bodyDiv w:val="1"/>
      <w:marLeft w:val="0"/>
      <w:marRight w:val="0"/>
      <w:marTop w:val="0"/>
      <w:marBottom w:val="0"/>
      <w:divBdr>
        <w:top w:val="none" w:sz="0" w:space="0" w:color="auto"/>
        <w:left w:val="none" w:sz="0" w:space="0" w:color="auto"/>
        <w:bottom w:val="none" w:sz="0" w:space="0" w:color="auto"/>
        <w:right w:val="none" w:sz="0" w:space="0" w:color="auto"/>
      </w:divBdr>
    </w:div>
    <w:div w:id="1247350315">
      <w:bodyDiv w:val="1"/>
      <w:marLeft w:val="0"/>
      <w:marRight w:val="0"/>
      <w:marTop w:val="0"/>
      <w:marBottom w:val="0"/>
      <w:divBdr>
        <w:top w:val="none" w:sz="0" w:space="0" w:color="auto"/>
        <w:left w:val="none" w:sz="0" w:space="0" w:color="auto"/>
        <w:bottom w:val="none" w:sz="0" w:space="0" w:color="auto"/>
        <w:right w:val="none" w:sz="0" w:space="0" w:color="auto"/>
      </w:divBdr>
    </w:div>
    <w:div w:id="1415860184">
      <w:bodyDiv w:val="1"/>
      <w:marLeft w:val="0"/>
      <w:marRight w:val="0"/>
      <w:marTop w:val="0"/>
      <w:marBottom w:val="0"/>
      <w:divBdr>
        <w:top w:val="none" w:sz="0" w:space="0" w:color="auto"/>
        <w:left w:val="none" w:sz="0" w:space="0" w:color="auto"/>
        <w:bottom w:val="none" w:sz="0" w:space="0" w:color="auto"/>
        <w:right w:val="none" w:sz="0" w:space="0" w:color="auto"/>
      </w:divBdr>
    </w:div>
    <w:div w:id="188613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anhgiacduoc.org.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17FCF-E19B-427D-BAE5-4DC011157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CH2</Company>
  <LinksUpToDate>false</LinksUpToDate>
  <CharactersWithSpaces>7148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AVENIS</dc:creator>
  <cp:keywords/>
  <dc:description/>
  <cp:lastModifiedBy>Unknown User</cp:lastModifiedBy>
  <cp:revision>3</cp:revision>
  <cp:lastPrinted>2014-06-17T07:14:00Z</cp:lastPrinted>
  <dcterms:created xsi:type="dcterms:W3CDTF">2014-07-24T06:59:00Z</dcterms:created>
  <dcterms:modified xsi:type="dcterms:W3CDTF">2014-07-24T07:00:00Z</dcterms:modified>
</cp:coreProperties>
</file>